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1F" w:rsidRDefault="00E72D1F" w:rsidP="00E72D1F">
      <w:pPr>
        <w:pStyle w:val="2"/>
        <w:jc w:val="center"/>
      </w:pPr>
      <w:bookmarkStart w:id="0" w:name="_Toc251965344"/>
      <w:r>
        <w:t xml:space="preserve">Лабораторная работа № </w:t>
      </w:r>
      <w:bookmarkEnd w:id="0"/>
      <w:r>
        <w:t>4</w:t>
      </w:r>
    </w:p>
    <w:p w:rsidR="00E72D1F" w:rsidRDefault="00E72D1F" w:rsidP="00E72D1F">
      <w:pPr>
        <w:pStyle w:val="3"/>
        <w:jc w:val="center"/>
      </w:pPr>
      <w:bookmarkStart w:id="1" w:name="_Toc251965345"/>
      <w:r>
        <w:t>Географический анализ</w:t>
      </w:r>
      <w:bookmarkEnd w:id="1"/>
    </w:p>
    <w:p w:rsidR="00E72D1F" w:rsidRDefault="00E72D1F" w:rsidP="00E72D1F"/>
    <w:p w:rsidR="00E72D1F" w:rsidRDefault="00E72D1F" w:rsidP="00E72D1F">
      <w:pPr>
        <w:rPr>
          <w:u w:val="single"/>
        </w:rPr>
      </w:pPr>
      <w:r>
        <w:rPr>
          <w:u w:val="single"/>
        </w:rPr>
        <w:t>Цель работы: научиться таким видам географического анализа, как построение буферных зон и объединение областей.</w:t>
      </w:r>
    </w:p>
    <w:p w:rsidR="00B9752E" w:rsidRDefault="00E72D1F">
      <w:r>
        <w:rPr>
          <w:noProof/>
          <w:lang w:eastAsia="ru-RU"/>
        </w:rPr>
        <w:drawing>
          <wp:inline distT="0" distB="0" distL="0" distR="0" wp14:anchorId="742331EC" wp14:editId="0540F86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1F" w:rsidRDefault="00E72D1F">
      <w:r>
        <w:rPr>
          <w:noProof/>
          <w:lang w:eastAsia="ru-RU"/>
        </w:rPr>
        <w:drawing>
          <wp:inline distT="0" distB="0" distL="0" distR="0" wp14:anchorId="573F647B" wp14:editId="2A19122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AC" w:rsidRDefault="00D914AC">
      <w:r>
        <w:rPr>
          <w:noProof/>
          <w:lang w:eastAsia="ru-RU"/>
        </w:rPr>
        <w:lastRenderedPageBreak/>
        <w:drawing>
          <wp:inline distT="0" distB="0" distL="0" distR="0" wp14:anchorId="7DDDC483" wp14:editId="23FC7EF7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AC" w:rsidRDefault="00D914AC">
      <w:r>
        <w:rPr>
          <w:noProof/>
          <w:lang w:eastAsia="ru-RU"/>
        </w:rPr>
        <w:drawing>
          <wp:inline distT="0" distB="0" distL="0" distR="0" wp14:anchorId="3E1F926E" wp14:editId="472CE85B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AC" w:rsidRDefault="00D914AC">
      <w:r>
        <w:rPr>
          <w:noProof/>
          <w:lang w:eastAsia="ru-RU"/>
        </w:rPr>
        <w:lastRenderedPageBreak/>
        <w:drawing>
          <wp:inline distT="0" distB="0" distL="0" distR="0" wp14:anchorId="62DA5373" wp14:editId="0B0D4647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2E" w:rsidRDefault="004D1C2E">
      <w:r>
        <w:rPr>
          <w:noProof/>
          <w:lang w:eastAsia="ru-RU"/>
        </w:rPr>
        <w:drawing>
          <wp:inline distT="0" distB="0" distL="0" distR="0" wp14:anchorId="026A88C1" wp14:editId="07E92F27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2E" w:rsidRDefault="004D1C2E" w:rsidP="004D1C2E">
      <w:pPr>
        <w:tabs>
          <w:tab w:val="left" w:pos="1760"/>
        </w:tabs>
      </w:pPr>
      <w:r>
        <w:t>В моей версии программы не было расширения «</w:t>
      </w:r>
      <w:r w:rsidRPr="007761C7">
        <w:t>Концентрические буферные кольца</w:t>
      </w:r>
      <w:r>
        <w:t>»</w:t>
      </w:r>
    </w:p>
    <w:p w:rsidR="004D1C2E" w:rsidRDefault="004D1C2E" w:rsidP="004D1C2E">
      <w:pPr>
        <w:tabs>
          <w:tab w:val="left" w:pos="1760"/>
        </w:tabs>
      </w:pPr>
      <w:r>
        <w:t xml:space="preserve">Приведу теоретическое </w:t>
      </w:r>
      <w:proofErr w:type="gramStart"/>
      <w:r>
        <w:t>описание</w:t>
      </w:r>
      <w:proofErr w:type="gramEnd"/>
      <w:r>
        <w:t xml:space="preserve"> где найти данное расширение в другой версии программы и как работать с данной функцией.</w:t>
      </w:r>
    </w:p>
    <w:p w:rsidR="004D1C2E" w:rsidRDefault="004D1C2E" w:rsidP="004D1C2E">
      <w:pPr>
        <w:rPr>
          <w:lang w:eastAsia="ru-RU"/>
        </w:rPr>
      </w:pPr>
      <w:r w:rsidRPr="007761C7">
        <w:rPr>
          <w:lang w:eastAsia="ru-RU"/>
        </w:rPr>
        <w:lastRenderedPageBreak/>
        <w:t>Для ее запуска нужно зайти в каталог программ «Программы – Каталог программ», найти ее в списке и поставить галочку в «Загрузить» и «Автозагрузка». Нажмите «ОК». Сначала выберите объект, вокруг которого будут строиться буферные кольца.</w:t>
      </w:r>
      <w:r>
        <w:rPr>
          <w:lang w:eastAsia="ru-RU"/>
        </w:rPr>
        <w:t xml:space="preserve"> </w:t>
      </w:r>
      <w:r w:rsidRPr="007761C7">
        <w:rPr>
          <w:lang w:eastAsia="ru-RU"/>
        </w:rPr>
        <w:t>Далее «Программы – Буферные зоны–кольца – Создать концентрические буферные зоны».</w:t>
      </w:r>
    </w:p>
    <w:p w:rsidR="004D1C2E" w:rsidRDefault="004D1C2E" w:rsidP="004D1C2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911361B" wp14:editId="345589B8">
            <wp:extent cx="5888990" cy="414591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C2E" w:rsidRPr="00E435C8" w:rsidRDefault="004D1C2E" w:rsidP="004D1C2E">
      <w:pPr>
        <w:rPr>
          <w:lang w:eastAsia="ru-RU"/>
        </w:rPr>
      </w:pPr>
      <w:r w:rsidRPr="00E435C8">
        <w:rPr>
          <w:lang w:eastAsia="ru-RU"/>
        </w:rPr>
        <w:t xml:space="preserve">Появится окно с настройками буферных колец. Задайте три радиуса в 10, 20 и </w:t>
      </w:r>
      <w:smartTag w:uri="urn:schemas-microsoft-com:office:smarttags" w:element="metricconverter">
        <w:smartTagPr>
          <w:attr w:name="ProductID" w:val="30 км"/>
        </w:smartTagPr>
        <w:r w:rsidRPr="00E435C8">
          <w:rPr>
            <w:lang w:eastAsia="ru-RU"/>
          </w:rPr>
          <w:t>30 км</w:t>
        </w:r>
      </w:smartTag>
      <w:r w:rsidRPr="00E435C8">
        <w:rPr>
          <w:lang w:eastAsia="ru-RU"/>
        </w:rPr>
        <w:t xml:space="preserve">, нажимая кнопку «Добавить», задайте единицы – </w:t>
      </w:r>
      <w:r w:rsidRPr="00E435C8">
        <w:rPr>
          <w:lang w:val="en-US" w:eastAsia="ru-RU"/>
        </w:rPr>
        <w:t>kilometers</w:t>
      </w:r>
      <w:r w:rsidRPr="00E435C8">
        <w:rPr>
          <w:lang w:eastAsia="ru-RU"/>
        </w:rPr>
        <w:t xml:space="preserve">, сглаживание - 12. Нажмите «Путь» и задайте путь сохранения таблицы </w:t>
      </w:r>
      <w:proofErr w:type="spellStart"/>
      <w:r w:rsidRPr="00E435C8">
        <w:rPr>
          <w:i/>
          <w:lang w:eastAsia="ru-RU"/>
        </w:rPr>
        <w:t>Ring_Buffer</w:t>
      </w:r>
      <w:proofErr w:type="spellEnd"/>
      <w:r w:rsidRPr="00E435C8">
        <w:rPr>
          <w:lang w:eastAsia="ru-RU"/>
        </w:rPr>
        <w:t xml:space="preserve"> в свою папку с работами. Кольца будут расположены именно на этом слое.</w:t>
      </w:r>
    </w:p>
    <w:p w:rsidR="004D1C2E" w:rsidRPr="00E435C8" w:rsidRDefault="004D1C2E" w:rsidP="004D1C2E">
      <w:pPr>
        <w:rPr>
          <w:lang w:eastAsia="ru-RU"/>
        </w:rPr>
      </w:pPr>
      <w:r w:rsidRPr="00E435C8">
        <w:rPr>
          <w:lang w:eastAsia="ru-RU"/>
        </w:rPr>
        <w:t xml:space="preserve">При нажатии «Вычислить статистику колец» можно будет вычислить различные статистические данные и вынести их на </w:t>
      </w:r>
      <w:proofErr w:type="spellStart"/>
      <w:r w:rsidRPr="00E435C8">
        <w:rPr>
          <w:lang w:eastAsia="ru-RU"/>
        </w:rPr>
        <w:t>график</w:t>
      </w:r>
      <w:proofErr w:type="gramStart"/>
      <w:r w:rsidRPr="00E435C8">
        <w:rPr>
          <w:lang w:eastAsia="ru-RU"/>
        </w:rPr>
        <w:t>.П</w:t>
      </w:r>
      <w:proofErr w:type="gramEnd"/>
      <w:r w:rsidRPr="00E435C8">
        <w:rPr>
          <w:lang w:eastAsia="ru-RU"/>
        </w:rPr>
        <w:t>осле</w:t>
      </w:r>
      <w:proofErr w:type="spellEnd"/>
      <w:r w:rsidRPr="00E435C8">
        <w:rPr>
          <w:lang w:eastAsia="ru-RU"/>
        </w:rPr>
        <w:t xml:space="preserve"> выбора всех нужных настроек нажмите «ОК».</w:t>
      </w:r>
    </w:p>
    <w:p w:rsidR="004D1C2E" w:rsidRPr="007761C7" w:rsidRDefault="004D1C2E" w:rsidP="004D1C2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911E80" wp14:editId="6A4BF95A">
            <wp:extent cx="4505325" cy="3462655"/>
            <wp:effectExtent l="0" t="0" r="952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435C8">
        <w:rPr>
          <w:rFonts w:eastAsia="Times New Roman" w:cs="Times New Roman"/>
          <w:sz w:val="24"/>
          <w:szCs w:val="24"/>
          <w:lang w:eastAsia="ru-RU"/>
        </w:rPr>
        <w:t>Получится такая картина (после некоторой настройки буферов):</w:t>
      </w:r>
      <w:bookmarkStart w:id="2" w:name="_GoBack"/>
      <w:bookmarkEnd w:id="2"/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435C8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A9DE43" wp14:editId="32C0B81C">
            <wp:simplePos x="0" y="0"/>
            <wp:positionH relativeFrom="column">
              <wp:posOffset>114300</wp:posOffset>
            </wp:positionH>
            <wp:positionV relativeFrom="paragraph">
              <wp:posOffset>167640</wp:posOffset>
            </wp:positionV>
            <wp:extent cx="2209800" cy="2238375"/>
            <wp:effectExtent l="19050" t="19050" r="19050" b="285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435C8">
        <w:rPr>
          <w:rFonts w:eastAsia="Times New Roman" w:cs="Times New Roman"/>
          <w:sz w:val="24"/>
          <w:szCs w:val="24"/>
          <w:u w:val="single"/>
          <w:lang w:eastAsia="ru-RU"/>
        </w:rPr>
        <w:t>Буферы обладают свойствами полигонов. С их помощью можно выбирать другие объекты для анализа (например, какие города входят в буферную зону)</w:t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435C8">
        <w:rPr>
          <w:rFonts w:eastAsia="Times New Roman" w:cs="Times New Roman"/>
          <w:sz w:val="24"/>
          <w:szCs w:val="24"/>
          <w:u w:val="single"/>
          <w:lang w:eastAsia="ru-RU"/>
        </w:rPr>
        <w:t xml:space="preserve">Постройте буферные кольца с радиусами 20, 50 и </w:t>
      </w:r>
      <w:smartTag w:uri="urn:schemas-microsoft-com:office:smarttags" w:element="metricconverter">
        <w:smartTagPr>
          <w:attr w:name="ProductID" w:val="100 км"/>
        </w:smartTagPr>
        <w:r w:rsidRPr="00E435C8">
          <w:rPr>
            <w:rFonts w:eastAsia="Times New Roman" w:cs="Times New Roman"/>
            <w:sz w:val="24"/>
            <w:szCs w:val="24"/>
            <w:u w:val="single"/>
            <w:lang w:eastAsia="ru-RU"/>
          </w:rPr>
          <w:t>100 км</w:t>
        </w:r>
      </w:smartTag>
      <w:r w:rsidRPr="00E435C8">
        <w:rPr>
          <w:rFonts w:eastAsia="Times New Roman" w:cs="Times New Roman"/>
          <w:sz w:val="24"/>
          <w:szCs w:val="24"/>
          <w:u w:val="single"/>
          <w:lang w:eastAsia="ru-RU"/>
        </w:rPr>
        <w:t xml:space="preserve"> от области.</w:t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435C8">
        <w:rPr>
          <w:rFonts w:eastAsia="Times New Roman" w:cs="Times New Roman"/>
          <w:sz w:val="24"/>
          <w:szCs w:val="24"/>
          <w:lang w:eastAsia="ru-RU"/>
        </w:rPr>
        <w:t>В данном случае первое буферное кольцо слилось в сплошную зону, поэтому сделайте его прозрачным, но с красной пунктирной границей.</w:t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435C8"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663E91C" wp14:editId="61F28FF7">
            <wp:simplePos x="0" y="0"/>
            <wp:positionH relativeFrom="column">
              <wp:posOffset>-1788795</wp:posOffset>
            </wp:positionH>
            <wp:positionV relativeFrom="paragraph">
              <wp:posOffset>741045</wp:posOffset>
            </wp:positionV>
            <wp:extent cx="4826000" cy="3568700"/>
            <wp:effectExtent l="19050" t="19050" r="12700" b="1270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568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D1C2E" w:rsidRPr="00E435C8" w:rsidRDefault="004D1C2E" w:rsidP="004D1C2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4D1C2E" w:rsidRDefault="004D1C2E" w:rsidP="004D1C2E">
      <w:pPr>
        <w:tabs>
          <w:tab w:val="left" w:pos="1760"/>
        </w:tabs>
      </w:pPr>
    </w:p>
    <w:p w:rsidR="004D1C2E" w:rsidRPr="007761C7" w:rsidRDefault="004D1C2E" w:rsidP="004D1C2E"/>
    <w:p w:rsidR="004D1C2E" w:rsidRDefault="004D1C2E" w:rsidP="004D1C2E"/>
    <w:p w:rsidR="004D1C2E" w:rsidRDefault="004D1C2E"/>
    <w:sectPr w:rsidR="004D1C2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C11" w:rsidRDefault="002B5C11" w:rsidP="004D1C2E">
      <w:pPr>
        <w:spacing w:after="0" w:line="240" w:lineRule="auto"/>
      </w:pPr>
      <w:r>
        <w:separator/>
      </w:r>
    </w:p>
  </w:endnote>
  <w:endnote w:type="continuationSeparator" w:id="0">
    <w:p w:rsidR="002B5C11" w:rsidRDefault="002B5C11" w:rsidP="004D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1071248"/>
      <w:docPartObj>
        <w:docPartGallery w:val="Page Numbers (Bottom of Page)"/>
        <w:docPartUnique/>
      </w:docPartObj>
    </w:sdtPr>
    <w:sdtContent>
      <w:p w:rsidR="004D1C2E" w:rsidRDefault="004D1C2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D1C2E" w:rsidRDefault="004D1C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C11" w:rsidRDefault="002B5C11" w:rsidP="004D1C2E">
      <w:pPr>
        <w:spacing w:after="0" w:line="240" w:lineRule="auto"/>
      </w:pPr>
      <w:r>
        <w:separator/>
      </w:r>
    </w:p>
  </w:footnote>
  <w:footnote w:type="continuationSeparator" w:id="0">
    <w:p w:rsidR="002B5C11" w:rsidRDefault="002B5C11" w:rsidP="004D1C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1F"/>
    <w:rsid w:val="002B5C11"/>
    <w:rsid w:val="004D1C2E"/>
    <w:rsid w:val="00B9752E"/>
    <w:rsid w:val="00D914AC"/>
    <w:rsid w:val="00E7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1F"/>
    <w:pPr>
      <w:spacing w:line="36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E72D1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72D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72D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72D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1C2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1C2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D1F"/>
    <w:pPr>
      <w:spacing w:line="36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E72D1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72D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72D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72D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1C2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D1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1C2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2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Rikhman</dc:creator>
  <cp:lastModifiedBy>Mark Rikhman</cp:lastModifiedBy>
  <cp:revision>1</cp:revision>
  <dcterms:created xsi:type="dcterms:W3CDTF">2022-04-15T07:16:00Z</dcterms:created>
  <dcterms:modified xsi:type="dcterms:W3CDTF">2022-04-15T07:43:00Z</dcterms:modified>
</cp:coreProperties>
</file>